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北京链家2022春季校园招聘</w:t>
      </w:r>
    </w:p>
    <w:p>
      <w:pPr>
        <w:spacing w:line="276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【公司简介】</w:t>
      </w:r>
    </w:p>
    <w:p>
      <w:pPr>
        <w:spacing w:line="276" w:lineRule="auto"/>
        <w:ind w:firstLine="360" w:firstLineChars="20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链家深耕房地产综合服务业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21年</w:t>
      </w:r>
      <w:r>
        <w:rPr>
          <w:rFonts w:hint="eastAsia" w:ascii="微软雅黑" w:hAnsi="微软雅黑" w:eastAsia="微软雅黑" w:cs="微软雅黑"/>
          <w:sz w:val="18"/>
          <w:szCs w:val="18"/>
        </w:rPr>
        <w:t>，进驻全国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29城</w:t>
      </w:r>
      <w:r>
        <w:rPr>
          <w:rFonts w:hint="eastAsia" w:ascii="微软雅黑" w:hAnsi="微软雅黑" w:eastAsia="微软雅黑" w:cs="微软雅黑"/>
          <w:sz w:val="18"/>
          <w:szCs w:val="18"/>
        </w:rPr>
        <w:t>，北京链家有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1000多家门店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2</w:t>
      </w:r>
      <w:r>
        <w:rPr>
          <w:rFonts w:ascii="微软雅黑" w:hAnsi="微软雅黑" w:eastAsia="微软雅黑" w:cs="微软雅黑"/>
          <w:b/>
          <w:sz w:val="18"/>
          <w:szCs w:val="18"/>
        </w:rPr>
        <w:t>.6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W+职业经纪人</w:t>
      </w:r>
      <w:r>
        <w:rPr>
          <w:rFonts w:hint="eastAsia" w:ascii="微软雅黑" w:hAnsi="微软雅黑" w:eastAsia="微软雅黑" w:cs="微软雅黑"/>
          <w:sz w:val="18"/>
          <w:szCs w:val="18"/>
        </w:rPr>
        <w:t>，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为消费者提供全方位的房产交易和居住服务。</w:t>
      </w:r>
    </w:p>
    <w:p>
      <w:pPr>
        <w:snapToGrid w:val="0"/>
        <w:spacing w:line="276" w:lineRule="auto"/>
        <w:ind w:firstLine="360" w:firstLineChars="20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北京链家具备高效的线上线下一体化服务能力，拥有过万名从业五年以上的社区专家，结合链家网和贝壳找房的</w:t>
      </w: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楼盘字典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地图找房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VR看房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、</w:t>
      </w: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交易可视化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等创新技术和产品，为消费者提供智慧高效的服务体验。</w:t>
      </w:r>
    </w:p>
    <w:p>
      <w:pPr>
        <w:snapToGrid w:val="0"/>
        <w:spacing w:line="276" w:lineRule="auto"/>
        <w:ind w:firstLine="360" w:firstLineChars="20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北京是链家的发源地，也是链家的</w:t>
      </w: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文化摇篮、人才高地、业务创新先锋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。自2001年成立以来，陆续向行业输出了大量优秀人才。他们遍布全国各地，以创业者、管理者和服务者等不同角色，积极促进了当地房产经纪行业的良性发展。</w:t>
      </w:r>
    </w:p>
    <w:p>
      <w:pPr>
        <w:snapToGrid w:val="0"/>
        <w:spacing w:line="276" w:lineRule="auto"/>
        <w:ind w:firstLine="360" w:firstLineChars="20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以“</w:t>
      </w: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国民链家，品质为先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”为品牌理念，以“成为中国房产服务业的国民品牌”为愿景，北京链家将不断创新发展，为万千家庭提供更加安心、高效、有品质的房产交易服务，进一步</w:t>
      </w: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推动经纪人的职业化发展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，成为率先迈入4.0时代的房产经纪品牌。</w:t>
      </w:r>
    </w:p>
    <w:p>
      <w:pPr>
        <w:widowControl/>
        <w:spacing w:line="276" w:lineRule="auto"/>
        <w:jc w:val="left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【</w:t>
      </w:r>
      <w:r>
        <w:rPr>
          <w:rFonts w:ascii="微软雅黑" w:hAnsi="微软雅黑" w:eastAsia="微软雅黑" w:cs="宋体"/>
          <w:b/>
          <w:kern w:val="0"/>
          <w:sz w:val="24"/>
        </w:rPr>
        <w:t>招聘岗位</w:t>
      </w:r>
      <w:r>
        <w:rPr>
          <w:rFonts w:hint="eastAsia" w:ascii="微软雅黑" w:hAnsi="微软雅黑" w:eastAsia="微软雅黑" w:cs="宋体"/>
          <w:b/>
          <w:kern w:val="0"/>
          <w:sz w:val="24"/>
        </w:rPr>
        <w:t xml:space="preserve">】  </w:t>
      </w:r>
    </w:p>
    <w:p>
      <w:pPr>
        <w:spacing w:line="276" w:lineRule="auto"/>
        <w:rPr>
          <w:rFonts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置业顾问/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房产经纪人（链+新生代）---- </w:t>
      </w: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(新房/二手房/海外/旅居/装修综合业务方向)</w:t>
      </w:r>
      <w:r>
        <w:rPr>
          <w:rFonts w:ascii="微软雅黑" w:hAnsi="微软雅黑" w:eastAsia="微软雅黑" w:cs="宋体"/>
          <w:b/>
          <w:kern w:val="0"/>
          <w:sz w:val="24"/>
          <w:szCs w:val="21"/>
        </w:rPr>
        <w:br w:type="textWrapping"/>
      </w:r>
      <w:r>
        <w:rPr>
          <w:rFonts w:hint="eastAsia" w:ascii="微软雅黑" w:hAnsi="微软雅黑" w:eastAsia="微软雅黑" w:cs="宋体"/>
          <w:b/>
          <w:kern w:val="0"/>
          <w:sz w:val="24"/>
        </w:rPr>
        <w:t>【</w:t>
      </w:r>
      <w:r>
        <w:rPr>
          <w:rFonts w:ascii="微软雅黑" w:hAnsi="微软雅黑" w:eastAsia="微软雅黑" w:cs="宋体"/>
          <w:b/>
          <w:kern w:val="0"/>
          <w:sz w:val="24"/>
        </w:rPr>
        <w:t>工作职责</w:t>
      </w:r>
      <w:r>
        <w:rPr>
          <w:rFonts w:hint="eastAsia" w:ascii="微软雅黑" w:hAnsi="微软雅黑" w:eastAsia="微软雅黑" w:cs="宋体"/>
          <w:b/>
          <w:kern w:val="0"/>
          <w:sz w:val="24"/>
        </w:rPr>
        <w:t>】</w:t>
      </w:r>
    </w:p>
    <w:p>
      <w:pPr>
        <w:pStyle w:val="9"/>
        <w:numPr>
          <w:ilvl w:val="0"/>
          <w:numId w:val="1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收集社区信息：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楼盘及商圈生活配套信息， 根据客户需求，完成房屋交易、租赁、资产管理等业务</w:t>
      </w:r>
    </w:p>
    <w:p>
      <w:pPr>
        <w:pStyle w:val="9"/>
        <w:numPr>
          <w:ilvl w:val="0"/>
          <w:numId w:val="1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客源开发与维护：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线上+线下融合作业，通过线上平台（链家网、贝壳找房）和工具（Link、VR看房等）提升效率，等互联网平台及工具完成房客源的开发与维护，提供全流程房产交易服务上</w:t>
      </w:r>
    </w:p>
    <w:p>
      <w:pPr>
        <w:pStyle w:val="9"/>
        <w:numPr>
          <w:ilvl w:val="0"/>
          <w:numId w:val="1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挖掘客户需求：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深挖客户需求，定制相应的资产管理方案与基础房产法律咨询服务</w:t>
      </w:r>
    </w:p>
    <w:p>
      <w:pPr>
        <w:pStyle w:val="9"/>
        <w:numPr>
          <w:ilvl w:val="0"/>
          <w:numId w:val="1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18"/>
          <w:szCs w:val="18"/>
        </w:rPr>
        <w:t>商务谈判：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参与商务谈判，负责业务跟进、客户信息登记及客户关系维护，与客户建立长期良好的业务合作关系</w:t>
      </w:r>
    </w:p>
    <w:p>
      <w:pPr>
        <w:spacing w:line="276" w:lineRule="auto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【任职要求】</w:t>
      </w:r>
    </w:p>
    <w:p>
      <w:pPr>
        <w:pStyle w:val="10"/>
        <w:spacing w:line="276" w:lineRule="auto"/>
        <w:ind w:left="142" w:firstLine="0"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1</w:t>
      </w:r>
      <w:r>
        <w:rPr>
          <w:rFonts w:ascii="微软雅黑" w:hAnsi="微软雅黑" w:eastAsia="微软雅黑" w:cs="宋体"/>
          <w:kern w:val="0"/>
          <w:sz w:val="18"/>
          <w:szCs w:val="18"/>
        </w:rPr>
        <w:t xml:space="preserve">.  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全日制统招本科及以上学历，</w:t>
      </w:r>
      <w:r>
        <w:rPr>
          <w:rFonts w:ascii="微软雅黑" w:hAnsi="微软雅黑" w:eastAsia="微软雅黑" w:cs="宋体"/>
          <w:kern w:val="0"/>
          <w:sz w:val="18"/>
          <w:szCs w:val="18"/>
        </w:rPr>
        <w:t>22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年毕业学生均可</w:t>
      </w:r>
    </w:p>
    <w:p>
      <w:pPr>
        <w:pStyle w:val="10"/>
        <w:numPr>
          <w:ilvl w:val="0"/>
          <w:numId w:val="2"/>
        </w:numPr>
        <w:spacing w:line="276" w:lineRule="auto"/>
        <w:ind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高度的工作热情和团队合作意识，学习能力，抗压能力佳，不怕困难，不惧挫折</w:t>
      </w:r>
    </w:p>
    <w:p>
      <w:pPr>
        <w:pStyle w:val="10"/>
        <w:numPr>
          <w:ilvl w:val="0"/>
          <w:numId w:val="2"/>
        </w:numPr>
        <w:spacing w:line="276" w:lineRule="auto"/>
        <w:ind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沟通能力强，普通话标准，有亲和力，工作积极，乐观开朗</w:t>
      </w:r>
    </w:p>
    <w:p>
      <w:pPr>
        <w:pStyle w:val="10"/>
        <w:numPr>
          <w:ilvl w:val="0"/>
          <w:numId w:val="2"/>
        </w:numPr>
        <w:spacing w:line="276" w:lineRule="auto"/>
        <w:ind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有销售，客户服务或者学生社团干部经验者优先考虑</w:t>
      </w:r>
    </w:p>
    <w:p>
      <w:pPr>
        <w:snapToGrid w:val="0"/>
        <w:spacing w:line="276" w:lineRule="auto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【薪资结构】</w:t>
      </w:r>
    </w:p>
    <w:p>
      <w:pPr>
        <w:spacing w:line="276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入职0-12个月的伙伴</w:t>
      </w:r>
    </w:p>
    <w:p>
      <w:pPr>
        <w:spacing w:line="276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转正前：</w:t>
      </w:r>
      <w:r>
        <w:rPr>
          <w:rFonts w:hint="eastAsia" w:ascii="微软雅黑" w:hAnsi="微软雅黑" w:eastAsia="微软雅黑" w:cs="微软雅黑"/>
          <w:sz w:val="18"/>
          <w:szCs w:val="18"/>
        </w:rPr>
        <w:t>实习期（未毕业同学）无责底薪4500元/月（实习期可转正）</w:t>
      </w:r>
    </w:p>
    <w:p>
      <w:pPr>
        <w:spacing w:line="276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试用期（已毕业同学）无责底薪6000元/月（试用期可转正）</w:t>
      </w:r>
    </w:p>
    <w:p>
      <w:pPr>
        <w:spacing w:line="276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转正后：</w:t>
      </w:r>
      <w:r>
        <w:rPr>
          <w:rFonts w:hint="eastAsia" w:ascii="微软雅黑" w:hAnsi="微软雅黑" w:eastAsia="微软雅黑" w:cs="微软雅黑"/>
          <w:sz w:val="18"/>
          <w:szCs w:val="18"/>
        </w:rPr>
        <w:t>转正后高提佣，高绩效奖励</w:t>
      </w:r>
    </w:p>
    <w:p>
      <w:pPr>
        <w:spacing w:line="276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    综合年收入10.7</w:t>
      </w:r>
      <w:r>
        <w:rPr>
          <w:rFonts w:ascii="微软雅黑" w:hAnsi="微软雅黑" w:eastAsia="微软雅黑" w:cs="微软雅黑"/>
          <w:sz w:val="18"/>
          <w:szCs w:val="18"/>
        </w:rPr>
        <w:t>w</w:t>
      </w:r>
      <w:r>
        <w:rPr>
          <w:rFonts w:hint="eastAsia" w:ascii="微软雅黑" w:hAnsi="微软雅黑" w:eastAsia="微软雅黑" w:cs="微软雅黑"/>
          <w:sz w:val="18"/>
          <w:szCs w:val="18"/>
        </w:rPr>
        <w:t>，提佣上不封顶</w:t>
      </w:r>
    </w:p>
    <w:p>
      <w:pPr>
        <w:spacing w:line="276" w:lineRule="auto"/>
        <w:rPr>
          <w:rFonts w:ascii="微软雅黑" w:hAnsi="微软雅黑" w:eastAsia="微软雅黑" w:cs="微软雅黑"/>
          <w:sz w:val="18"/>
          <w:szCs w:val="18"/>
        </w:rPr>
      </w:pPr>
    </w:p>
    <w:p>
      <w:pPr>
        <w:spacing w:line="276" w:lineRule="auto"/>
        <w:rPr>
          <w:rFonts w:ascii="微软雅黑" w:hAnsi="微软雅黑" w:eastAsia="微软雅黑" w:cs="微软雅黑"/>
          <w:sz w:val="18"/>
          <w:szCs w:val="18"/>
        </w:rPr>
      </w:pPr>
    </w:p>
    <w:p>
      <w:pPr>
        <w:spacing w:line="276" w:lineRule="auto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t>【福利保障】</w:t>
      </w:r>
    </w:p>
    <w:p>
      <w:pPr>
        <w:pStyle w:val="9"/>
        <w:numPr>
          <w:ilvl w:val="0"/>
          <w:numId w:val="3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休假保障：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体检假，实习生答辩假（最长3个月），年假及公休假、团体休假等。</w:t>
      </w:r>
    </w:p>
    <w:p>
      <w:pPr>
        <w:pStyle w:val="9"/>
        <w:numPr>
          <w:ilvl w:val="0"/>
          <w:numId w:val="3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六险一金：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养老、医疗、失业、工伤、生育、补充医疗险、住房公积金</w:t>
      </w:r>
    </w:p>
    <w:p>
      <w:pPr>
        <w:pStyle w:val="9"/>
        <w:snapToGrid w:val="0"/>
        <w:spacing w:line="276" w:lineRule="auto"/>
        <w:ind w:left="502" w:firstLine="0" w:firstLineChars="0"/>
        <w:rPr>
          <w:rFonts w:hint="default" w:ascii="微软雅黑" w:hAnsi="微软雅黑" w:eastAsia="微软雅黑" w:cs="宋体"/>
          <w:bCs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5"/>
          <w:szCs w:val="15"/>
        </w:rPr>
        <w:t>注：实习期缴纳实习生意外伤害险(商业保险)</w:t>
      </w:r>
      <w:r>
        <w:rPr>
          <w:rFonts w:hint="eastAsia" w:ascii="微软雅黑" w:hAnsi="微软雅黑" w:eastAsia="微软雅黑" w:cs="宋体"/>
          <w:b/>
          <w:bCs/>
          <w:kern w:val="0"/>
          <w:sz w:val="15"/>
          <w:szCs w:val="15"/>
        </w:rPr>
        <w:t>，毕业后缴纳六险一金。</w:t>
      </w:r>
    </w:p>
    <w:p>
      <w:pPr>
        <w:pStyle w:val="9"/>
        <w:numPr>
          <w:ilvl w:val="0"/>
          <w:numId w:val="3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格林互助金，</w:t>
      </w:r>
      <w:r>
        <w:rPr>
          <w:rFonts w:ascii="微软雅黑" w:hAnsi="微软雅黑" w:eastAsia="微软雅黑" w:cs="宋体"/>
          <w:bCs/>
          <w:kern w:val="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员工本人和家属的专属意外、医疗保障基金</w:t>
      </w:r>
    </w:p>
    <w:p>
      <w:pPr>
        <w:pStyle w:val="9"/>
        <w:numPr>
          <w:ilvl w:val="0"/>
          <w:numId w:val="3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bCs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节日礼品、月度聚餐及周边游、内部员工租、购房福利</w:t>
      </w:r>
    </w:p>
    <w:p>
      <w:pPr>
        <w:pStyle w:val="9"/>
        <w:numPr>
          <w:ilvl w:val="0"/>
          <w:numId w:val="3"/>
        </w:numPr>
        <w:snapToGrid w:val="0"/>
        <w:spacing w:line="276" w:lineRule="auto"/>
        <w:ind w:firstLineChars="0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Cs/>
          <w:kern w:val="0"/>
          <w:sz w:val="18"/>
          <w:szCs w:val="18"/>
        </w:rPr>
        <w:t>应届生（入职3个月以内）8000元0息租房“贝”用金</w:t>
      </w:r>
    </w:p>
    <w:p>
      <w:pPr>
        <w:widowControl/>
        <w:snapToGrid w:val="0"/>
        <w:spacing w:line="276" w:lineRule="auto"/>
        <w:jc w:val="left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b/>
          <w:kern w:val="0"/>
          <w:sz w:val="24"/>
        </w:rPr>
        <w:t>【晋升通道】</w:t>
      </w:r>
    </w:p>
    <w:p>
      <w:pPr>
        <w:pStyle w:val="10"/>
        <w:numPr>
          <w:ilvl w:val="0"/>
          <w:numId w:val="4"/>
        </w:numPr>
        <w:spacing w:line="276" w:lineRule="auto"/>
        <w:ind w:firstLineChars="0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清晰的职业发展路径，竞聘、晋升、评选制度透明公开</w:t>
      </w:r>
    </w:p>
    <w:p>
      <w:pPr>
        <w:pStyle w:val="10"/>
        <w:numPr>
          <w:ilvl w:val="0"/>
          <w:numId w:val="4"/>
        </w:numPr>
        <w:spacing w:line="276" w:lineRule="auto"/>
        <w:ind w:firstLineChars="0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t>经纪人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可以选择在经纪人岗的</w:t>
      </w:r>
      <w:r>
        <w:rPr>
          <w:rFonts w:ascii="微软雅黑" w:hAnsi="微软雅黑" w:eastAsia="微软雅黑" w:cs="宋体"/>
          <w:b/>
          <w:color w:val="000000"/>
          <w:kern w:val="0"/>
          <w:sz w:val="18"/>
          <w:szCs w:val="18"/>
        </w:rPr>
        <w:t>专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18"/>
          <w:szCs w:val="18"/>
        </w:rPr>
        <w:t>家</w:t>
      </w:r>
      <w:r>
        <w:rPr>
          <w:rFonts w:ascii="微软雅黑" w:hAnsi="微软雅黑" w:eastAsia="微软雅黑" w:cs="宋体"/>
          <w:b/>
          <w:color w:val="000000"/>
          <w:kern w:val="0"/>
          <w:sz w:val="18"/>
          <w:szCs w:val="18"/>
        </w:rPr>
        <w:t>路线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t>或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 xml:space="preserve"> </w:t>
      </w:r>
      <w:r>
        <w:rPr>
          <w:rFonts w:ascii="微软雅黑" w:hAnsi="微软雅黑" w:eastAsia="微软雅黑" w:cs="宋体"/>
          <w:b/>
          <w:color w:val="000000"/>
          <w:kern w:val="0"/>
          <w:sz w:val="18"/>
          <w:szCs w:val="18"/>
        </w:rPr>
        <w:t>管理路线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 w:val="18"/>
          <w:szCs w:val="18"/>
        </w:rPr>
        <w:t>进行发展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，符合条件的员工也可向</w:t>
      </w:r>
      <w:r>
        <w:rPr>
          <w:rFonts w:hint="eastAsia" w:ascii="微软雅黑" w:hAnsi="微软雅黑" w:eastAsia="微软雅黑" w:cs="宋体"/>
          <w:b/>
          <w:color w:val="000000"/>
          <w:kern w:val="0"/>
          <w:sz w:val="18"/>
          <w:szCs w:val="18"/>
        </w:rPr>
        <w:t>职能路线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转岗机会，如转岗到招聘、培训、企业文化等职能部门</w:t>
      </w:r>
    </w:p>
    <w:p>
      <w:pPr>
        <w:pStyle w:val="10"/>
        <w:numPr>
          <w:ilvl w:val="0"/>
          <w:numId w:val="4"/>
        </w:numPr>
        <w:spacing w:line="276" w:lineRule="auto"/>
        <w:ind w:firstLineChars="0"/>
        <w:rPr>
          <w:rFonts w:ascii="微软雅黑" w:hAnsi="微软雅黑" w:eastAsia="微软雅黑" w:cs="宋体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18"/>
          <w:szCs w:val="18"/>
        </w:rPr>
        <w:t>活水计划：</w:t>
      </w:r>
      <w:r>
        <w:rPr>
          <w:rFonts w:hint="eastAsia" w:ascii="微软雅黑" w:hAnsi="微软雅黑" w:eastAsia="微软雅黑" w:cs="宋体"/>
          <w:color w:val="000000"/>
          <w:kern w:val="0"/>
          <w:sz w:val="18"/>
          <w:szCs w:val="18"/>
        </w:rPr>
        <w:t>符合条件的员工，全国链家、贝壳城市间可内部调动</w:t>
      </w:r>
    </w:p>
    <w:p>
      <w:pPr>
        <w:snapToGrid w:val="0"/>
        <w:spacing w:line="276" w:lineRule="auto"/>
        <w:ind w:firstLine="420" w:firstLineChars="200"/>
      </w:pPr>
      <w:r>
        <w:drawing>
          <wp:inline distT="0" distB="0" distL="0" distR="0">
            <wp:extent cx="4980940" cy="252158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76" w:lineRule="auto"/>
        <w:rPr>
          <w:rFonts w:ascii="微软雅黑" w:hAnsi="微软雅黑" w:eastAsia="微软雅黑" w:cs="宋体"/>
          <w:b/>
          <w:kern w:val="0"/>
          <w:sz w:val="24"/>
        </w:rPr>
      </w:pPr>
    </w:p>
    <w:p>
      <w:pPr>
        <w:snapToGrid w:val="0"/>
        <w:spacing w:line="276" w:lineRule="auto"/>
      </w:pPr>
      <w:r>
        <w:rPr>
          <w:rFonts w:hint="eastAsia" w:ascii="微软雅黑" w:hAnsi="微软雅黑" w:eastAsia="微软雅黑" w:cs="宋体"/>
          <w:b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b/>
          <w:kern w:val="0"/>
          <w:sz w:val="24"/>
        </w:rPr>
        <w:t>【完善的培训体系】</w:t>
      </w:r>
    </w:p>
    <w:p>
      <w:pPr>
        <w:widowControl/>
        <w:spacing w:line="276" w:lineRule="auto"/>
        <w:ind w:firstLine="360" w:firstLineChars="200"/>
        <w:jc w:val="left"/>
        <w:rPr>
          <w:rFonts w:ascii="微软雅黑" w:hAnsi="微软雅黑" w:eastAsia="微软雅黑" w:cs="宋体"/>
          <w:b/>
          <w:kern w:val="0"/>
          <w:sz w:val="24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链家拥有链家专有培训基地，链家学院，</w:t>
      </w:r>
      <w:r>
        <w:rPr>
          <w:rFonts w:hint="eastAsia" w:ascii="微软雅黑" w:hAnsi="微软雅黑" w:eastAsia="微软雅黑" w:cs="宋体"/>
          <w:b/>
          <w:kern w:val="0"/>
          <w:sz w:val="18"/>
          <w:szCs w:val="18"/>
        </w:rPr>
        <w:t>5800多</w:t>
      </w:r>
      <w:r>
        <w:rPr>
          <w:rFonts w:hint="eastAsia" w:ascii="微软雅黑" w:hAnsi="微软雅黑" w:eastAsia="微软雅黑" w:cs="宋体"/>
          <w:kern w:val="0"/>
          <w:sz w:val="18"/>
          <w:szCs w:val="18"/>
        </w:rPr>
        <w:t>培训讲师。新人训—在职经纪人能力提升衔接培训—新任店经理培训—店经理管理培训等，一整套完善的培训机制。一系列人才的标准化培养：经纪人的一天、店经理十六步、带看九要素、奇妙等式等，科学的的培训和辅导让你在最短时间锻炼提高、成长为一名自信成熟的年轻人。</w:t>
      </w:r>
    </w:p>
    <w:p>
      <w:pPr>
        <w:spacing w:line="276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b/>
          <w:kern w:val="0"/>
          <w:sz w:val="24"/>
        </w:rPr>
        <w:t>【招聘流程】</w:t>
      </w:r>
    </w:p>
    <w:p>
      <w:pPr>
        <w:spacing w:line="276" w:lineRule="auto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投递简历-电话约面-初试-复试-终试-offer-培训-入职</w:t>
      </w:r>
    </w:p>
    <w:p>
      <w:pPr>
        <w:spacing w:line="276" w:lineRule="auto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总部地址：北京市朝阳区将台路电子研发中心A</w:t>
      </w:r>
      <w:r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号楼</w:t>
      </w:r>
    </w:p>
    <w:p>
      <w:pPr>
        <w:spacing w:line="276" w:lineRule="auto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简历发送至邮箱：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niexiaoyan003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highlight w:val="yellow"/>
          <w14:textFill>
            <w14:solidFill>
              <w14:schemeClr w14:val="tx1"/>
            </w14:solidFill>
          </w14:textFill>
        </w:rPr>
        <w:t xml:space="preserve">@lianjia.com 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276" w:lineRule="auto"/>
        <w:rPr>
          <w:rFonts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北京链家总部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HR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聂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highlight w:val="yellow"/>
          <w14:textFill>
            <w14:solidFill>
              <w14:schemeClr w14:val="tx1"/>
            </w14:solidFill>
          </w14:textFill>
        </w:rPr>
        <w:t>老师：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15116946591</w:t>
      </w:r>
      <w:r>
        <w:rPr>
          <w:rFonts w:hint="eastAsia" w:ascii="微软雅黑" w:hAnsi="微软雅黑" w:eastAsia="微软雅黑"/>
          <w:color w:val="000000" w:themeColor="text1"/>
          <w:sz w:val="18"/>
          <w:szCs w:val="18"/>
          <w:highlight w:val="yellow"/>
          <w14:textFill>
            <w14:solidFill>
              <w14:schemeClr w14:val="tx1"/>
            </w14:solidFill>
          </w14:textFill>
        </w:rPr>
        <w:t xml:space="preserve">（同微信） </w:t>
      </w:r>
    </w:p>
    <w:p>
      <w:pP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FF0000"/>
          <w:sz w:val="22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color w:val="FF0000"/>
          <w:sz w:val="22"/>
          <w:szCs w:val="21"/>
        </w:rPr>
        <w:drawing>
          <wp:inline distT="0" distB="0" distL="114300" distR="114300">
            <wp:extent cx="878840" cy="878840"/>
            <wp:effectExtent l="0" t="0" r="16510" b="16510"/>
            <wp:docPr id="2" name="图片 1" descr="聂晓艳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聂晓艳微信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color w:val="FF0000"/>
          <w:sz w:val="22"/>
          <w:szCs w:val="21"/>
          <w:lang w:val="en-US" w:eastAsia="zh-CN"/>
        </w:rPr>
        <w:t xml:space="preserve">           </w:t>
      </w:r>
      <w:r>
        <w:rPr>
          <w:rFonts w:hint="eastAsia" w:ascii="微软雅黑" w:hAnsi="微软雅黑" w:eastAsia="微软雅黑"/>
          <w:b/>
          <w:color w:val="FF0000"/>
          <w:sz w:val="22"/>
          <w:szCs w:val="21"/>
        </w:rPr>
        <w:drawing>
          <wp:inline distT="0" distB="0" distL="114300" distR="114300">
            <wp:extent cx="892810" cy="892810"/>
            <wp:effectExtent l="0" t="0" r="2540" b="2540"/>
            <wp:docPr id="4" name="图片 2" descr="投递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投递简历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281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color w:val="FF0000"/>
          <w:sz w:val="22"/>
          <w:szCs w:val="21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/>
          <w:b/>
          <w:color w:val="FF0000"/>
          <w:sz w:val="22"/>
          <w:szCs w:val="21"/>
          <w:lang w:val="en-US" w:eastAsia="zh-CN"/>
        </w:rPr>
        <w:drawing>
          <wp:inline distT="0" distB="0" distL="114300" distR="114300">
            <wp:extent cx="732155" cy="958215"/>
            <wp:effectExtent l="0" t="0" r="10795" b="13335"/>
            <wp:docPr id="1" name="图片 1" descr="微信图片_2022051014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101437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color w:val="FF0000"/>
          <w:sz w:val="22"/>
          <w:szCs w:val="21"/>
          <w:lang w:val="en-US" w:eastAsia="zh-CN"/>
        </w:rPr>
        <w:t xml:space="preserve"> </w:t>
      </w:r>
    </w:p>
    <w:p>
      <w:pPr>
        <w:widowControl/>
        <w:spacing w:line="360" w:lineRule="auto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扫码添加HR微信           </w:t>
      </w:r>
      <w:r>
        <w:rPr>
          <w:rFonts w:hint="eastAsia" w:ascii="微软雅黑" w:hAnsi="微软雅黑" w:eastAsia="微软雅黑" w:cs="宋体"/>
          <w:kern w:val="0"/>
          <w:szCs w:val="21"/>
          <w:lang w:val="en-US" w:eastAsia="zh-CN"/>
        </w:rPr>
        <w:t>扫码投递简历         北京链家2022春季校园招聘交流群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681A68"/>
    <w:multiLevelType w:val="multilevel"/>
    <w:tmpl w:val="1B681A68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FFA19CC"/>
    <w:multiLevelType w:val="multilevel"/>
    <w:tmpl w:val="3FFA19CC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556C6657"/>
    <w:multiLevelType w:val="multilevel"/>
    <w:tmpl w:val="556C6657"/>
    <w:lvl w:ilvl="0" w:tentative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39E32B6"/>
    <w:multiLevelType w:val="multilevel"/>
    <w:tmpl w:val="739E32B6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wMDc4ZjA2YjlmNzBkOWNmYjFkNTY2NmNiYjA3OTgifQ=="/>
  </w:docVars>
  <w:rsids>
    <w:rsidRoot w:val="454C5B3F"/>
    <w:rsid w:val="00036AE6"/>
    <w:rsid w:val="003D135A"/>
    <w:rsid w:val="00696EFC"/>
    <w:rsid w:val="006A0F8A"/>
    <w:rsid w:val="0079493D"/>
    <w:rsid w:val="00811700"/>
    <w:rsid w:val="008307E5"/>
    <w:rsid w:val="00833D68"/>
    <w:rsid w:val="00857179"/>
    <w:rsid w:val="00873058"/>
    <w:rsid w:val="008863CF"/>
    <w:rsid w:val="0091060E"/>
    <w:rsid w:val="00AE40E2"/>
    <w:rsid w:val="00B5016D"/>
    <w:rsid w:val="00B64895"/>
    <w:rsid w:val="00CE4EEF"/>
    <w:rsid w:val="00EB573C"/>
    <w:rsid w:val="024C6509"/>
    <w:rsid w:val="068167C7"/>
    <w:rsid w:val="07943000"/>
    <w:rsid w:val="0F3414F3"/>
    <w:rsid w:val="1F182BD0"/>
    <w:rsid w:val="1F8D3D1E"/>
    <w:rsid w:val="2007660D"/>
    <w:rsid w:val="20482782"/>
    <w:rsid w:val="296D6712"/>
    <w:rsid w:val="346D60E4"/>
    <w:rsid w:val="36D571DC"/>
    <w:rsid w:val="39AD1B7B"/>
    <w:rsid w:val="3AF67A8F"/>
    <w:rsid w:val="3C9F7C67"/>
    <w:rsid w:val="3DF00289"/>
    <w:rsid w:val="3E6F2C64"/>
    <w:rsid w:val="454C5B3F"/>
    <w:rsid w:val="47426BF8"/>
    <w:rsid w:val="4C46074C"/>
    <w:rsid w:val="542E719D"/>
    <w:rsid w:val="5C7C1F68"/>
    <w:rsid w:val="6FE31EA7"/>
    <w:rsid w:val="78D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Emphasis"/>
    <w:basedOn w:val="5"/>
    <w:qFormat/>
    <w:uiPriority w:val="0"/>
    <w:rPr>
      <w:i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1437</Words>
  <Characters>1529</Characters>
  <Lines>11</Lines>
  <Paragraphs>3</Paragraphs>
  <TotalTime>0</TotalTime>
  <ScaleCrop>false</ScaleCrop>
  <LinksUpToDate>false</LinksUpToDate>
  <CharactersWithSpaces>1607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2022-03-14T04:26:00Z</dcterms:created>
  <dc:creator>流年Missing</dc:creator>
  <cp:lastModifiedBy>国展Z.O聂晓艳</cp:lastModifiedBy>
  <dcterms:modified xsi:type="dcterms:W3CDTF">2022-05-10T06:38:46Z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8EEAD637398E478599A127C27ACE2C4A</vt:lpwstr>
  </property>
</Properties>
</file>